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F0" w:rsidRPr="001F4F4C" w:rsidRDefault="006F33F0" w:rsidP="001F4F4C">
      <w:pPr>
        <w:spacing w:after="0" w:line="240" w:lineRule="auto"/>
        <w:rPr>
          <w:rFonts w:ascii="Times New Roman" w:hAnsi="Times New Roman"/>
          <w:lang w:val="en-IE"/>
        </w:rPr>
      </w:pPr>
    </w:p>
    <w:p w:rsidR="006F33F0" w:rsidRPr="001F4F4C" w:rsidRDefault="006F33F0" w:rsidP="001F4F4C">
      <w:pPr>
        <w:spacing w:after="0" w:line="240" w:lineRule="auto"/>
        <w:rPr>
          <w:rFonts w:ascii="Times New Roman" w:hAnsi="Times New Roman"/>
          <w:lang w:val="en-IE"/>
        </w:rPr>
      </w:pPr>
    </w:p>
    <w:p w:rsidR="006F33F0" w:rsidRPr="0063224D" w:rsidRDefault="006F33F0" w:rsidP="0063224D">
      <w:pPr>
        <w:rPr>
          <w:rFonts w:ascii="Times New Roman" w:hAnsi="Times New Roman"/>
          <w:i/>
          <w:color w:val="333333"/>
          <w:sz w:val="24"/>
          <w:szCs w:val="24"/>
        </w:rPr>
      </w:pPr>
      <w:r w:rsidRPr="005E3943">
        <w:rPr>
          <w:rFonts w:ascii="Times New Roman" w:hAnsi="Times New Roman"/>
          <w:i/>
          <w:color w:val="333333"/>
          <w:sz w:val="24"/>
          <w:szCs w:val="24"/>
        </w:rPr>
        <w:t xml:space="preserve">The following announcement replaces that released today at </w:t>
      </w:r>
      <w:r>
        <w:rPr>
          <w:rFonts w:ascii="Times New Roman" w:hAnsi="Times New Roman"/>
          <w:i/>
          <w:color w:val="333333"/>
          <w:sz w:val="24"/>
          <w:szCs w:val="24"/>
        </w:rPr>
        <w:t>9:22am under RNS no 1487J</w:t>
      </w:r>
      <w:r w:rsidRPr="005E3943">
        <w:rPr>
          <w:rFonts w:ascii="Times New Roman" w:hAnsi="Times New Roman"/>
          <w:i/>
          <w:color w:val="333333"/>
          <w:sz w:val="24"/>
          <w:szCs w:val="24"/>
        </w:rPr>
        <w:t xml:space="preserve">. The number of Shares held by Gallagher Holdings Limited is 11,239,081 and not 11,238,081. 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All other details remain </w:t>
      </w:r>
      <w:r w:rsidRPr="005E3943">
        <w:rPr>
          <w:rFonts w:ascii="Times New Roman" w:hAnsi="Times New Roman"/>
          <w:i/>
          <w:color w:val="333333"/>
          <w:sz w:val="24"/>
          <w:szCs w:val="24"/>
        </w:rPr>
        <w:t xml:space="preserve">unchanged. </w:t>
      </w:r>
      <w:r w:rsidRPr="0063224D">
        <w:rPr>
          <w:rFonts w:ascii="Times New Roman" w:hAnsi="Times New Roman"/>
          <w:i/>
          <w:color w:val="333333"/>
          <w:sz w:val="24"/>
          <w:szCs w:val="24"/>
        </w:rPr>
        <w:t>The full amended text is shown below.</w:t>
      </w:r>
    </w:p>
    <w:p w:rsidR="006F33F0" w:rsidRPr="005E3943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</w:p>
    <w:p w:rsidR="006F33F0" w:rsidRPr="001F4F4C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F4F4C">
        <w:rPr>
          <w:rFonts w:ascii="Times New Roman" w:hAnsi="Times New Roman"/>
          <w:color w:val="333333"/>
          <w:sz w:val="24"/>
          <w:szCs w:val="24"/>
        </w:rPr>
        <w:t>Mr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1F4F4C">
        <w:rPr>
          <w:rFonts w:ascii="Times New Roman" w:hAnsi="Times New Roman"/>
          <w:color w:val="333333"/>
          <w:sz w:val="24"/>
          <w:szCs w:val="24"/>
        </w:rPr>
        <w:t xml:space="preserve"> James Ferguson </w:t>
      </w:r>
    </w:p>
    <w:p w:rsidR="006F33F0" w:rsidRPr="001F4F4C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F4F4C">
        <w:rPr>
          <w:rFonts w:ascii="Times New Roman" w:hAnsi="Times New Roman"/>
          <w:color w:val="333333"/>
          <w:sz w:val="24"/>
          <w:szCs w:val="24"/>
        </w:rPr>
        <w:t>Via Email: announcements@ise.ie</w:t>
      </w:r>
      <w:r w:rsidRPr="001F4F4C">
        <w:rPr>
          <w:rFonts w:ascii="Times New Roman" w:hAnsi="Times New Roman"/>
          <w:color w:val="333333"/>
          <w:sz w:val="24"/>
          <w:szCs w:val="24"/>
        </w:rPr>
        <w:br/>
        <w:t>Operations Manager</w:t>
      </w:r>
      <w:r w:rsidRPr="001F4F4C">
        <w:rPr>
          <w:rFonts w:ascii="Times New Roman" w:hAnsi="Times New Roman"/>
          <w:color w:val="333333"/>
          <w:sz w:val="24"/>
          <w:szCs w:val="24"/>
        </w:rPr>
        <w:br/>
        <w:t>The Irish Stock Exchange</w:t>
      </w:r>
      <w:r w:rsidRPr="001F4F4C">
        <w:rPr>
          <w:rFonts w:ascii="Times New Roman" w:hAnsi="Times New Roman"/>
          <w:color w:val="333333"/>
          <w:sz w:val="24"/>
          <w:szCs w:val="24"/>
        </w:rPr>
        <w:br/>
      </w:r>
      <w:smartTag w:uri="urn:schemas-microsoft-com:office:smarttags" w:element="City">
        <w:smartTag w:uri="urn:schemas-microsoft-com:office:smarttags" w:element="Street">
          <w:r w:rsidRPr="001F4F4C">
            <w:rPr>
              <w:rFonts w:ascii="Times New Roman" w:hAnsi="Times New Roman"/>
              <w:color w:val="333333"/>
              <w:sz w:val="24"/>
              <w:szCs w:val="24"/>
            </w:rPr>
            <w:t>28 Anglesea Street</w:t>
          </w:r>
        </w:smartTag>
        <w:r w:rsidRPr="001F4F4C">
          <w:rPr>
            <w:rFonts w:ascii="Times New Roman" w:hAnsi="Times New Roman"/>
            <w:color w:val="333333"/>
            <w:sz w:val="24"/>
            <w:szCs w:val="24"/>
          </w:rPr>
          <w:br/>
        </w:r>
        <w:smartTag w:uri="urn:schemas-microsoft-com:office:smarttags" w:element="City">
          <w:r w:rsidRPr="001F4F4C">
            <w:rPr>
              <w:rFonts w:ascii="Times New Roman" w:hAnsi="Times New Roman"/>
              <w:color w:val="333333"/>
              <w:sz w:val="24"/>
              <w:szCs w:val="24"/>
            </w:rPr>
            <w:t>Dublin</w:t>
          </w:r>
        </w:smartTag>
      </w:smartTag>
      <w:r w:rsidRPr="001F4F4C">
        <w:rPr>
          <w:rFonts w:ascii="Times New Roman" w:hAnsi="Times New Roman"/>
          <w:color w:val="333333"/>
          <w:sz w:val="24"/>
          <w:szCs w:val="24"/>
        </w:rPr>
        <w:t xml:space="preserve"> 2</w:t>
      </w:r>
    </w:p>
    <w:p w:rsidR="006F33F0" w:rsidRPr="001F4F4C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Pr="001F4F4C">
        <w:rPr>
          <w:rFonts w:ascii="Times New Roman" w:hAnsi="Times New Roman"/>
          <w:color w:val="333333"/>
          <w:sz w:val="24"/>
          <w:szCs w:val="24"/>
        </w:rPr>
        <w:t xml:space="preserve"> August, 2012</w:t>
      </w:r>
    </w:p>
    <w:p w:rsidR="006F33F0" w:rsidRPr="001F4F4C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F4F4C">
        <w:rPr>
          <w:rFonts w:ascii="Times New Roman" w:hAnsi="Times New Roman"/>
          <w:color w:val="333333"/>
          <w:sz w:val="24"/>
          <w:szCs w:val="24"/>
        </w:rPr>
        <w:t>Dear Mr Ferguson</w:t>
      </w:r>
    </w:p>
    <w:p w:rsidR="006F33F0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F4F4C">
        <w:rPr>
          <w:rFonts w:ascii="Times New Roman" w:hAnsi="Times New Roman"/>
          <w:color w:val="333333"/>
          <w:sz w:val="24"/>
          <w:szCs w:val="24"/>
        </w:rPr>
        <w:t>We have received notification pursuant to section 67 of the Companies Act 1990 of the following interest in the issued share capital of Abbey plc.</w:t>
      </w:r>
    </w:p>
    <w:p w:rsidR="006F33F0" w:rsidRPr="001F4F4C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157"/>
        <w:gridCol w:w="2226"/>
        <w:gridCol w:w="1718"/>
        <w:gridCol w:w="1473"/>
      </w:tblGrid>
      <w:tr w:rsidR="006F33F0" w:rsidRPr="00F51F48" w:rsidTr="00F51F48">
        <w:tc>
          <w:tcPr>
            <w:tcW w:w="2002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Effective Date</w:t>
            </w:r>
          </w:p>
        </w:tc>
        <w:tc>
          <w:tcPr>
            <w:tcW w:w="2157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Notification Date</w:t>
            </w:r>
          </w:p>
        </w:tc>
        <w:tc>
          <w:tcPr>
            <w:tcW w:w="2226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Shareholder</w:t>
            </w:r>
          </w:p>
        </w:tc>
        <w:tc>
          <w:tcPr>
            <w:tcW w:w="1718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No. Shares</w:t>
            </w:r>
          </w:p>
        </w:tc>
        <w:tc>
          <w:tcPr>
            <w:tcW w:w="1473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% of Issued Share Capital</w:t>
            </w:r>
          </w:p>
        </w:tc>
      </w:tr>
      <w:tr w:rsidR="006F33F0" w:rsidRPr="00F51F48" w:rsidTr="00F51F48">
        <w:tc>
          <w:tcPr>
            <w:tcW w:w="2002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1 August, 2012</w:t>
            </w:r>
          </w:p>
        </w:tc>
        <w:tc>
          <w:tcPr>
            <w:tcW w:w="2157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1 August, 2012</w:t>
            </w:r>
          </w:p>
        </w:tc>
        <w:tc>
          <w:tcPr>
            <w:tcW w:w="2226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Gallagher Holdings Limited</w:t>
            </w:r>
          </w:p>
        </w:tc>
        <w:tc>
          <w:tcPr>
            <w:tcW w:w="1718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11,239,081</w:t>
            </w:r>
          </w:p>
        </w:tc>
        <w:tc>
          <w:tcPr>
            <w:tcW w:w="1473" w:type="dxa"/>
          </w:tcPr>
          <w:p w:rsidR="006F33F0" w:rsidRPr="00F51F48" w:rsidRDefault="006F33F0" w:rsidP="00F51F48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F48">
              <w:rPr>
                <w:rFonts w:ascii="Times New Roman" w:hAnsi="Times New Roman"/>
                <w:color w:val="333333"/>
                <w:sz w:val="24"/>
                <w:szCs w:val="24"/>
              </w:rPr>
              <w:t>52.2%</w:t>
            </w:r>
          </w:p>
        </w:tc>
      </w:tr>
    </w:tbl>
    <w:p w:rsidR="006F33F0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F4F4C">
        <w:rPr>
          <w:rFonts w:ascii="Times New Roman" w:hAnsi="Times New Roman"/>
          <w:color w:val="333333"/>
          <w:sz w:val="24"/>
          <w:szCs w:val="24"/>
        </w:rPr>
        <w:t>Yours sincerely</w:t>
      </w:r>
      <w:r w:rsidRPr="001F4F4C">
        <w:rPr>
          <w:rFonts w:ascii="Times New Roman" w:hAnsi="Times New Roman"/>
          <w:color w:val="333333"/>
          <w:sz w:val="24"/>
          <w:szCs w:val="24"/>
        </w:rPr>
        <w:br/>
      </w:r>
    </w:p>
    <w:p w:rsidR="006F33F0" w:rsidRPr="001F4F4C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F4F4C">
        <w:rPr>
          <w:rFonts w:ascii="Times New Roman" w:hAnsi="Times New Roman"/>
          <w:color w:val="333333"/>
          <w:sz w:val="24"/>
          <w:szCs w:val="24"/>
        </w:rPr>
        <w:t>For and on behalf of</w:t>
      </w:r>
      <w:r w:rsidRPr="001F4F4C">
        <w:rPr>
          <w:rFonts w:ascii="Times New Roman" w:hAnsi="Times New Roman"/>
          <w:color w:val="333333"/>
          <w:sz w:val="24"/>
          <w:szCs w:val="24"/>
        </w:rPr>
        <w:br/>
        <w:t>ABBEY PLC</w:t>
      </w:r>
    </w:p>
    <w:p w:rsidR="006F33F0" w:rsidRPr="001F4F4C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F4F4C">
        <w:rPr>
          <w:rFonts w:ascii="Times New Roman" w:hAnsi="Times New Roman"/>
          <w:color w:val="333333"/>
          <w:sz w:val="24"/>
          <w:szCs w:val="24"/>
        </w:rPr>
        <w:t>David J Dawson</w:t>
      </w:r>
    </w:p>
    <w:p w:rsidR="006F33F0" w:rsidRPr="001F4F4C" w:rsidRDefault="006F33F0" w:rsidP="001F4F4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F4F4C">
        <w:rPr>
          <w:rFonts w:ascii="Times New Roman" w:hAnsi="Times New Roman"/>
          <w:color w:val="333333"/>
          <w:sz w:val="24"/>
          <w:szCs w:val="24"/>
        </w:rPr>
        <w:t>Company Secretary</w:t>
      </w:r>
    </w:p>
    <w:p w:rsidR="006F33F0" w:rsidRPr="001F4F4C" w:rsidRDefault="006F33F0" w:rsidP="001F4F4C">
      <w:pPr>
        <w:spacing w:after="0" w:line="240" w:lineRule="auto"/>
        <w:rPr>
          <w:rFonts w:ascii="Times New Roman" w:hAnsi="Times New Roman"/>
          <w:lang w:val="en-IE"/>
        </w:rPr>
      </w:pPr>
    </w:p>
    <w:sectPr w:rsidR="006F33F0" w:rsidRPr="001F4F4C" w:rsidSect="00C00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4C"/>
    <w:rsid w:val="001058D1"/>
    <w:rsid w:val="001200BB"/>
    <w:rsid w:val="001F4F4C"/>
    <w:rsid w:val="002B0F2C"/>
    <w:rsid w:val="0049432D"/>
    <w:rsid w:val="005E3943"/>
    <w:rsid w:val="0060529F"/>
    <w:rsid w:val="0063224D"/>
    <w:rsid w:val="006F33F0"/>
    <w:rsid w:val="00C00F37"/>
    <w:rsid w:val="00C23749"/>
    <w:rsid w:val="00C418E6"/>
    <w:rsid w:val="00DF17A7"/>
    <w:rsid w:val="00F5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3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F4F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F4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95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952">
                      <w:marLeft w:val="150"/>
                      <w:marRight w:val="40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679</Characters>
  <Application>Microsoft Office Outlook</Application>
  <DocSecurity>0</DocSecurity>
  <Lines>0</Lines>
  <Paragraphs>0</Paragraphs>
  <ScaleCrop>false</ScaleCrop>
  <Company>Davy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announcement replaces that released today at 9:22am under RNS no 1487J</dc:title>
  <dc:subject/>
  <dc:creator>mulhereu</dc:creator>
  <cp:keywords/>
  <dc:description/>
  <cp:lastModifiedBy>Niamh Byrne</cp:lastModifiedBy>
  <cp:revision>3</cp:revision>
  <dcterms:created xsi:type="dcterms:W3CDTF">2012-08-02T13:18:00Z</dcterms:created>
  <dcterms:modified xsi:type="dcterms:W3CDTF">2012-08-02T13:18:00Z</dcterms:modified>
</cp:coreProperties>
</file>